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BE82" w14:textId="445F571A" w:rsidR="00C027D9" w:rsidRDefault="00DC1604">
      <w:pPr>
        <w:spacing w:after="371" w:line="259" w:lineRule="auto"/>
        <w:ind w:left="0" w:right="142" w:firstLine="0"/>
        <w:jc w:val="right"/>
      </w:pPr>
      <w:r>
        <w:rPr>
          <w:sz w:val="30"/>
        </w:rPr>
        <w:t xml:space="preserve">Załącznik nr </w:t>
      </w:r>
      <w:r w:rsidR="00A273C1">
        <w:rPr>
          <w:sz w:val="30"/>
        </w:rPr>
        <w:t xml:space="preserve">3 </w:t>
      </w:r>
      <w:r>
        <w:rPr>
          <w:sz w:val="30"/>
        </w:rPr>
        <w:t>do Wzoru Umowy</w:t>
      </w:r>
      <w:r>
        <w:t xml:space="preserve"> </w:t>
      </w:r>
    </w:p>
    <w:p w14:paraId="4A6C3E11" w14:textId="77777777" w:rsidR="00C027D9" w:rsidRDefault="00DC1604">
      <w:pPr>
        <w:spacing w:after="21" w:line="259" w:lineRule="auto"/>
        <w:ind w:left="690" w:right="0" w:firstLine="0"/>
        <w:jc w:val="center"/>
      </w:pPr>
      <w:r>
        <w:rPr>
          <w:sz w:val="28"/>
        </w:rPr>
        <w:t>PODSTAWA PŁATNOŚCI</w:t>
      </w:r>
      <w:r>
        <w:t xml:space="preserve"> </w:t>
      </w:r>
    </w:p>
    <w:p w14:paraId="3595FEE6" w14:textId="77777777" w:rsidR="00C027D9" w:rsidRDefault="00DC1604">
      <w:pPr>
        <w:spacing w:after="338" w:line="259" w:lineRule="auto"/>
        <w:ind w:left="0" w:right="0" w:firstLine="0"/>
        <w:jc w:val="left"/>
      </w:pPr>
      <w:r>
        <w:rPr>
          <w:sz w:val="28"/>
        </w:rPr>
        <w:t>Ustalenia ogólne</w:t>
      </w:r>
      <w:r>
        <w:t xml:space="preserve"> </w:t>
      </w:r>
    </w:p>
    <w:p w14:paraId="56608689" w14:textId="77777777" w:rsidR="00C027D9" w:rsidRDefault="00DC1604">
      <w:pPr>
        <w:spacing w:after="139" w:line="232" w:lineRule="auto"/>
        <w:ind w:left="713" w:right="0" w:hanging="461"/>
      </w:pPr>
      <w:r>
        <w:rPr>
          <w:noProof/>
        </w:rPr>
        <w:drawing>
          <wp:inline distT="0" distB="0" distL="0" distR="0" wp14:anchorId="487D0657" wp14:editId="7F690FDE">
            <wp:extent cx="50292" cy="96012"/>
            <wp:effectExtent l="0" t="0" r="0" b="0"/>
            <wp:docPr id="84" name="Picture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Podstawą płatności dla robót objętych umową są kosztorysy powykonawcze sporządzone w oparciu o:</w:t>
      </w:r>
      <w:r>
        <w:t xml:space="preserve"> </w:t>
      </w:r>
    </w:p>
    <w:p w14:paraId="50160C76" w14:textId="77777777" w:rsidR="00C027D9" w:rsidRDefault="00DC1604">
      <w:pPr>
        <w:numPr>
          <w:ilvl w:val="0"/>
          <w:numId w:val="1"/>
        </w:numPr>
        <w:spacing w:after="139" w:line="232" w:lineRule="auto"/>
        <w:ind w:right="28" w:hanging="353"/>
      </w:pPr>
      <w:r>
        <w:rPr>
          <w:sz w:val="24"/>
        </w:rPr>
        <w:t>dla robót/pozycji wyspecyfikowanych w kosztorysach ofertowych do rozliczeń przyjmuje się ceny jednostkowe w nich zawarte,</w:t>
      </w:r>
      <w:r>
        <w:t xml:space="preserve"> </w:t>
      </w:r>
    </w:p>
    <w:p w14:paraId="1AF44401" w14:textId="77777777" w:rsidR="00B4087B" w:rsidRPr="00B4087B" w:rsidRDefault="00B4087B" w:rsidP="00B4087B">
      <w:pPr>
        <w:numPr>
          <w:ilvl w:val="0"/>
          <w:numId w:val="1"/>
        </w:numPr>
        <w:spacing w:after="139" w:line="232" w:lineRule="auto"/>
        <w:ind w:right="28" w:hanging="353"/>
      </w:pPr>
      <w:r w:rsidRPr="00B4087B">
        <w:rPr>
          <w:sz w:val="24"/>
        </w:rPr>
        <w:t xml:space="preserve">Roboty nieujęte w szczegółowych kosztorysach ofertowych, będą rozliczane na podstawie zasad określonych w Załączniku nr 3 do Umowy, w tym złożonego kosztorysu powykonawczego sporządzonego na obowiązujących KNR, w oparciu o stawki nie wyższe niż minimalne dla Województwa Śląskiego, określone w aktualnych na dzień wykonania Zlecenia Zeszytach SEKOCENBUD oraz przy zastosowaniu </w:t>
      </w:r>
      <w:proofErr w:type="gramStart"/>
      <w:r w:rsidRPr="00B4087B">
        <w:rPr>
          <w:sz w:val="24"/>
        </w:rPr>
        <w:t>Rg,Ko</w:t>
      </w:r>
      <w:proofErr w:type="gramEnd"/>
      <w:r w:rsidRPr="00B4087B">
        <w:rPr>
          <w:sz w:val="24"/>
        </w:rPr>
        <w:t>,Z, zgodnych ze złożonym szczegółowym kosztorysem ofertowym.</w:t>
      </w:r>
    </w:p>
    <w:p w14:paraId="1A839AF4" w14:textId="77777777" w:rsidR="00C027D9" w:rsidRDefault="00DC1604">
      <w:pPr>
        <w:ind w:left="10" w:right="55"/>
      </w:pPr>
      <w:r>
        <w:t xml:space="preserve"> Il. Podczas wyceny robót będą przyjmowane następujące założenia: </w:t>
      </w:r>
    </w:p>
    <w:p w14:paraId="45DC4135" w14:textId="77777777" w:rsidR="00C027D9" w:rsidRDefault="00DC1604">
      <w:pPr>
        <w:numPr>
          <w:ilvl w:val="0"/>
          <w:numId w:val="2"/>
        </w:numPr>
        <w:ind w:left="750" w:right="55" w:hanging="362"/>
      </w:pPr>
      <w:r>
        <w:t xml:space="preserve">ceny sprzętu zostaną rozliczone na podstawie cen najmu nie wyższych niż minimalne, określonych w aktualnych na dzień sporządzenia kosztorysów zeszytach </w:t>
      </w:r>
      <w:proofErr w:type="spellStart"/>
      <w:r>
        <w:t>Sekocenbud</w:t>
      </w:r>
      <w:proofErr w:type="spellEnd"/>
      <w:r>
        <w:t xml:space="preserve">, a w </w:t>
      </w:r>
      <w:proofErr w:type="gramStart"/>
      <w:r>
        <w:t>przypadku</w:t>
      </w:r>
      <w:proofErr w:type="gramEnd"/>
      <w:r>
        <w:t xml:space="preserve"> gdy sprzęt nie figuruje w zeszytach </w:t>
      </w:r>
      <w:proofErr w:type="spellStart"/>
      <w:r>
        <w:t>Sekocenbud</w:t>
      </w:r>
      <w:proofErr w:type="spellEnd"/>
      <w:r>
        <w:t xml:space="preserve"> należy przedstawić kalkulację indywidualną, przy czym Zamawiający zastrzega sobie prawo do weryfikacji przedłożonych </w:t>
      </w:r>
      <w:proofErr w:type="gramStart"/>
      <w:r>
        <w:t>kosztów  w</w:t>
      </w:r>
      <w:proofErr w:type="gramEnd"/>
      <w:r>
        <w:t xml:space="preserve"> odniesieniu do cen rynkowych, </w:t>
      </w:r>
    </w:p>
    <w:p w14:paraId="2DBE5B6E" w14:textId="77777777" w:rsidR="00C027D9" w:rsidRDefault="00DC1604">
      <w:pPr>
        <w:numPr>
          <w:ilvl w:val="0"/>
          <w:numId w:val="2"/>
        </w:numPr>
        <w:spacing w:after="63"/>
        <w:ind w:left="750" w:right="55" w:hanging="362"/>
      </w:pPr>
      <w:r>
        <w:t xml:space="preserve">ceny materiału zostaną rozliczone na podstawie cen w oparciu o stawki nie wyższe niż minimalne dla województwa śląskiego, określone w aktualnych na dzień sporządzenia kosztorysów zeszytach </w:t>
      </w:r>
      <w:proofErr w:type="spellStart"/>
      <w:r>
        <w:t>Sekocenbud</w:t>
      </w:r>
      <w:proofErr w:type="spellEnd"/>
      <w:r>
        <w:t xml:space="preserve">, w przypadku, gdy materiał nie figuruje w zeszytach </w:t>
      </w:r>
      <w:proofErr w:type="spellStart"/>
      <w:r>
        <w:t>Sekocenbud</w:t>
      </w:r>
      <w:proofErr w:type="spellEnd"/>
      <w:r>
        <w:t xml:space="preserve"> należy na żądanie Inspektora Nadzoru przedstawić dokument potwierdzający dokonanie zakupu, przy czym Zamawiający zastrzega sobie prawo do weryfikacji przedłożonych kosztów w odniesieniu do cen rynkowych, </w:t>
      </w:r>
    </w:p>
    <w:p w14:paraId="7AC6683E" w14:textId="77777777" w:rsidR="00C027D9" w:rsidRDefault="00DC1604">
      <w:pPr>
        <w:numPr>
          <w:ilvl w:val="0"/>
          <w:numId w:val="2"/>
        </w:numPr>
        <w:spacing w:after="17"/>
        <w:ind w:left="750" w:right="55" w:hanging="362"/>
      </w:pPr>
      <w:r>
        <w:t xml:space="preserve">cena piasku rozliczana będzie z pozycji „piasek uszlachetniony” jeżeli wymiana gruntu dotyczy pasa drogowego, natomiast z pozycji „piasek zwykły” jeśli wymiana gruntu realizowana jest poza pasem drogowym (cena zawiera koszty transportu na miejsce remontu), z zastrzeżeniem zapisów pkt 2, </w:t>
      </w:r>
    </w:p>
    <w:p w14:paraId="289A1832" w14:textId="77777777" w:rsidR="00C027D9" w:rsidRDefault="00DC1604">
      <w:pPr>
        <w:numPr>
          <w:ilvl w:val="0"/>
          <w:numId w:val="2"/>
        </w:numPr>
        <w:spacing w:after="27" w:line="232" w:lineRule="auto"/>
        <w:ind w:left="750" w:right="55" w:hanging="362"/>
      </w:pPr>
      <w:r>
        <w:rPr>
          <w:sz w:val="24"/>
        </w:rPr>
        <w:t>odległość wywozu odpadów (gruntu, gruzu itp.) z terenu prowadzonych robót rozliczana będzie z założeniem transportu na odległość 10 km,</w:t>
      </w:r>
      <w:r>
        <w:t xml:space="preserve"> </w:t>
      </w:r>
    </w:p>
    <w:p w14:paraId="3A9F11CD" w14:textId="77777777" w:rsidR="00C027D9" w:rsidRDefault="00DC1604">
      <w:pPr>
        <w:numPr>
          <w:ilvl w:val="0"/>
          <w:numId w:val="2"/>
        </w:numPr>
        <w:spacing w:after="177" w:line="232" w:lineRule="auto"/>
        <w:ind w:left="750" w:right="55" w:hanging="362"/>
      </w:pPr>
      <w:r>
        <w:rPr>
          <w:sz w:val="24"/>
        </w:rPr>
        <w:t>do celów kosztorysowania Wykonawca będzie stosował przeliczniki:</w:t>
      </w:r>
      <w:r>
        <w:t xml:space="preserve"> </w:t>
      </w:r>
    </w:p>
    <w:p w14:paraId="1D2EB355" w14:textId="77777777" w:rsidR="00DC1604" w:rsidRDefault="00DC1604" w:rsidP="00DC1604">
      <w:pPr>
        <w:pStyle w:val="Akapitzlist"/>
        <w:numPr>
          <w:ilvl w:val="0"/>
          <w:numId w:val="7"/>
        </w:numPr>
        <w:spacing w:after="165"/>
        <w:ind w:right="55"/>
      </w:pPr>
      <w:r>
        <w:t xml:space="preserve">piasek 1 m </w:t>
      </w:r>
      <w:r w:rsidRPr="00DC1604">
        <w:rPr>
          <w:vertAlign w:val="superscript"/>
        </w:rPr>
        <w:t xml:space="preserve">3 </w:t>
      </w:r>
      <w:r>
        <w:t xml:space="preserve">— 1,8 tony, </w:t>
      </w:r>
    </w:p>
    <w:p w14:paraId="17E1C80A" w14:textId="1C665745" w:rsidR="00C027D9" w:rsidRDefault="00DC1604" w:rsidP="00DC1604">
      <w:pPr>
        <w:pStyle w:val="Akapitzlist"/>
        <w:numPr>
          <w:ilvl w:val="0"/>
          <w:numId w:val="7"/>
        </w:numPr>
        <w:spacing w:after="165"/>
        <w:ind w:right="55"/>
      </w:pPr>
      <w:r>
        <w:t xml:space="preserve">ziemia 1 m </w:t>
      </w:r>
      <w:r w:rsidRPr="00DC1604">
        <w:rPr>
          <w:vertAlign w:val="superscript"/>
        </w:rPr>
        <w:t xml:space="preserve">3 </w:t>
      </w:r>
      <w:r>
        <w:t xml:space="preserve">— 1,6 tony, </w:t>
      </w:r>
    </w:p>
    <w:p w14:paraId="4BC3D87C" w14:textId="77777777" w:rsidR="00C027D9" w:rsidRDefault="00DC1604" w:rsidP="00DC1604">
      <w:pPr>
        <w:pStyle w:val="Akapitzlist"/>
        <w:numPr>
          <w:ilvl w:val="0"/>
          <w:numId w:val="7"/>
        </w:numPr>
        <w:spacing w:after="355"/>
        <w:ind w:right="55"/>
      </w:pPr>
      <w:r>
        <w:t xml:space="preserve">gruz 1 m </w:t>
      </w:r>
      <w:r w:rsidRPr="00DC1604">
        <w:rPr>
          <w:vertAlign w:val="superscript"/>
        </w:rPr>
        <w:t xml:space="preserve">3 </w:t>
      </w:r>
      <w:r>
        <w:t xml:space="preserve">— 1,8 tony, </w:t>
      </w:r>
    </w:p>
    <w:p w14:paraId="3354F75F" w14:textId="77777777" w:rsidR="00C027D9" w:rsidRDefault="00DC1604" w:rsidP="00DC1604">
      <w:pPr>
        <w:pStyle w:val="Akapitzlist"/>
        <w:numPr>
          <w:ilvl w:val="0"/>
          <w:numId w:val="7"/>
        </w:numPr>
        <w:ind w:right="55"/>
      </w:pPr>
      <w:r>
        <w:t>asfalt 1 m</w:t>
      </w:r>
      <w:r w:rsidRPr="00DC1604">
        <w:rPr>
          <w:vertAlign w:val="superscript"/>
        </w:rPr>
        <w:t xml:space="preserve">3 </w:t>
      </w:r>
      <w:r>
        <w:t xml:space="preserve">— 2,7 tony. </w:t>
      </w:r>
    </w:p>
    <w:p w14:paraId="5DA2C7AF" w14:textId="2A74CEF9" w:rsidR="00C027D9" w:rsidRDefault="00DC1604">
      <w:pPr>
        <w:spacing w:after="1133" w:line="232" w:lineRule="auto"/>
        <w:ind w:left="751" w:right="0" w:hanging="363"/>
      </w:pPr>
      <w:r>
        <w:rPr>
          <w:sz w:val="24"/>
        </w:rPr>
        <w:t xml:space="preserve">6) Podstawą do określenia nakładów rzeczowych dla robót/pozycji ujętych w punkcie 1.2. będą odpowiednie pozycje KNR oraz ceny jednostkowe, a w przypadku braku  </w:t>
      </w:r>
    </w:p>
    <w:p w14:paraId="48D36C0D" w14:textId="77777777" w:rsidR="00C027D9" w:rsidRDefault="00DC1604">
      <w:pPr>
        <w:pStyle w:val="Nagwek1"/>
        <w:ind w:right="129"/>
      </w:pPr>
      <w:r>
        <w:lastRenderedPageBreak/>
        <w:t>--/--/--</w:t>
      </w:r>
      <w:r>
        <w:rPr>
          <w:sz w:val="26"/>
        </w:rPr>
        <w:t xml:space="preserve"> </w:t>
      </w:r>
    </w:p>
    <w:p w14:paraId="71E502A4" w14:textId="77777777" w:rsidR="00C027D9" w:rsidRDefault="00DC1604">
      <w:pPr>
        <w:spacing w:after="1041" w:line="259" w:lineRule="auto"/>
        <w:ind w:left="425" w:right="0" w:firstLine="0"/>
        <w:jc w:val="left"/>
      </w:pPr>
      <w:r>
        <w:rPr>
          <w:sz w:val="24"/>
        </w:rPr>
        <w:t xml:space="preserve"> </w:t>
      </w:r>
    </w:p>
    <w:p w14:paraId="79A33833" w14:textId="77777777" w:rsidR="00C027D9" w:rsidRDefault="00DC1604">
      <w:pPr>
        <w:spacing w:after="1070" w:line="232" w:lineRule="auto"/>
        <w:ind w:left="751" w:right="0" w:hanging="363"/>
      </w:pPr>
      <w:r>
        <w:rPr>
          <w:sz w:val="24"/>
        </w:rPr>
        <w:t xml:space="preserve">odpowiednich pozycji KNR i cen jednostkowych, zastosowane zostaną inne obowiązujące katalogi nakładów oraz wycena indywidualna Wykonawcy zatwierdzona przez Zamawiającego. </w:t>
      </w:r>
    </w:p>
    <w:p w14:paraId="05AFE8A7" w14:textId="307C0AC0" w:rsidR="00C027D9" w:rsidRDefault="00DC1604" w:rsidP="00DC1604">
      <w:pPr>
        <w:spacing w:after="139" w:line="232" w:lineRule="auto"/>
        <w:ind w:left="426" w:right="0" w:hanging="426"/>
      </w:pPr>
      <w:r>
        <w:rPr>
          <w:sz w:val="24"/>
        </w:rPr>
        <w:t xml:space="preserve">7) Roboty nieujęte w cenach jednostkowych ani w katalogach nakładów rzeczowych będą indywidualnie wyceniane przez Wykonawcę robót, na podstawie określonych w ofercie składników </w:t>
      </w:r>
      <w:proofErr w:type="gramStart"/>
      <w:r>
        <w:rPr>
          <w:sz w:val="24"/>
        </w:rPr>
        <w:t>cenotwórczych</w:t>
      </w:r>
      <w:proofErr w:type="gramEnd"/>
      <w:r>
        <w:rPr>
          <w:sz w:val="24"/>
        </w:rPr>
        <w:t xml:space="preserve"> przy czym wycena wymaga każdorazowo akceptacji Zamawiającego.</w:t>
      </w:r>
      <w:r>
        <w:t xml:space="preserve"> </w:t>
      </w:r>
    </w:p>
    <w:sectPr w:rsidR="00C027D9">
      <w:pgSz w:w="11906" w:h="16838"/>
      <w:pgMar w:top="727" w:right="1295" w:bottom="1647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C3EF7"/>
    <w:multiLevelType w:val="hybridMultilevel"/>
    <w:tmpl w:val="BB06662E"/>
    <w:lvl w:ilvl="0" w:tplc="4A6A495A">
      <w:start w:val="1"/>
      <w:numFmt w:val="decimal"/>
      <w:lvlText w:val="%1)"/>
      <w:lvlJc w:val="left"/>
      <w:pPr>
        <w:ind w:left="720" w:hanging="360"/>
      </w:pPr>
    </w:lvl>
    <w:lvl w:ilvl="1" w:tplc="64B876BC">
      <w:start w:val="1"/>
      <w:numFmt w:val="decimal"/>
      <w:lvlText w:val="%2)"/>
      <w:lvlJc w:val="left"/>
      <w:pPr>
        <w:ind w:left="720" w:hanging="360"/>
      </w:pPr>
    </w:lvl>
    <w:lvl w:ilvl="2" w:tplc="964ED2FE">
      <w:start w:val="1"/>
      <w:numFmt w:val="decimal"/>
      <w:lvlText w:val="%3)"/>
      <w:lvlJc w:val="left"/>
      <w:pPr>
        <w:ind w:left="720" w:hanging="360"/>
      </w:pPr>
    </w:lvl>
    <w:lvl w:ilvl="3" w:tplc="D026C41E">
      <w:start w:val="1"/>
      <w:numFmt w:val="decimal"/>
      <w:lvlText w:val="%4)"/>
      <w:lvlJc w:val="left"/>
      <w:pPr>
        <w:ind w:left="720" w:hanging="360"/>
      </w:pPr>
    </w:lvl>
    <w:lvl w:ilvl="4" w:tplc="3D486360">
      <w:start w:val="1"/>
      <w:numFmt w:val="decimal"/>
      <w:lvlText w:val="%5)"/>
      <w:lvlJc w:val="left"/>
      <w:pPr>
        <w:ind w:left="720" w:hanging="360"/>
      </w:pPr>
    </w:lvl>
    <w:lvl w:ilvl="5" w:tplc="B7B63D66">
      <w:start w:val="1"/>
      <w:numFmt w:val="decimal"/>
      <w:lvlText w:val="%6)"/>
      <w:lvlJc w:val="left"/>
      <w:pPr>
        <w:ind w:left="720" w:hanging="360"/>
      </w:pPr>
    </w:lvl>
    <w:lvl w:ilvl="6" w:tplc="D7DCBFD6">
      <w:start w:val="1"/>
      <w:numFmt w:val="decimal"/>
      <w:lvlText w:val="%7)"/>
      <w:lvlJc w:val="left"/>
      <w:pPr>
        <w:ind w:left="720" w:hanging="360"/>
      </w:pPr>
    </w:lvl>
    <w:lvl w:ilvl="7" w:tplc="E5581C2C">
      <w:start w:val="1"/>
      <w:numFmt w:val="decimal"/>
      <w:lvlText w:val="%8)"/>
      <w:lvlJc w:val="left"/>
      <w:pPr>
        <w:ind w:left="720" w:hanging="360"/>
      </w:pPr>
    </w:lvl>
    <w:lvl w:ilvl="8" w:tplc="3C80540E">
      <w:start w:val="1"/>
      <w:numFmt w:val="decimal"/>
      <w:lvlText w:val="%9)"/>
      <w:lvlJc w:val="left"/>
      <w:pPr>
        <w:ind w:left="720" w:hanging="360"/>
      </w:pPr>
    </w:lvl>
  </w:abstractNum>
  <w:abstractNum w:abstractNumId="1" w15:restartNumberingAfterBreak="0">
    <w:nsid w:val="1C1328E1"/>
    <w:multiLevelType w:val="hybridMultilevel"/>
    <w:tmpl w:val="0DE08852"/>
    <w:lvl w:ilvl="0" w:tplc="207463AC">
      <w:start w:val="1"/>
      <w:numFmt w:val="decimal"/>
      <w:lvlText w:val="%1)"/>
      <w:lvlJc w:val="left"/>
      <w:pPr>
        <w:ind w:left="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BCB446">
      <w:start w:val="1"/>
      <w:numFmt w:val="lowerLetter"/>
      <w:lvlText w:val="%2"/>
      <w:lvlJc w:val="left"/>
      <w:pPr>
        <w:ind w:left="1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BCDA66">
      <w:start w:val="1"/>
      <w:numFmt w:val="lowerRoman"/>
      <w:lvlText w:val="%3"/>
      <w:lvlJc w:val="left"/>
      <w:pPr>
        <w:ind w:left="2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BA1FC2">
      <w:start w:val="1"/>
      <w:numFmt w:val="decimal"/>
      <w:lvlText w:val="%4"/>
      <w:lvlJc w:val="left"/>
      <w:pPr>
        <w:ind w:left="2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96EFC6">
      <w:start w:val="1"/>
      <w:numFmt w:val="lowerLetter"/>
      <w:lvlText w:val="%5"/>
      <w:lvlJc w:val="left"/>
      <w:pPr>
        <w:ind w:left="3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5C323E">
      <w:start w:val="1"/>
      <w:numFmt w:val="lowerRoman"/>
      <w:lvlText w:val="%6"/>
      <w:lvlJc w:val="left"/>
      <w:pPr>
        <w:ind w:left="4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5C09CE">
      <w:start w:val="1"/>
      <w:numFmt w:val="decimal"/>
      <w:lvlText w:val="%7"/>
      <w:lvlJc w:val="left"/>
      <w:pPr>
        <w:ind w:left="5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2272F4">
      <w:start w:val="1"/>
      <w:numFmt w:val="lowerLetter"/>
      <w:lvlText w:val="%8"/>
      <w:lvlJc w:val="left"/>
      <w:pPr>
        <w:ind w:left="5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883994">
      <w:start w:val="1"/>
      <w:numFmt w:val="lowerRoman"/>
      <w:lvlText w:val="%9"/>
      <w:lvlJc w:val="left"/>
      <w:pPr>
        <w:ind w:left="6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523BB2"/>
    <w:multiLevelType w:val="hybridMultilevel"/>
    <w:tmpl w:val="A070863E"/>
    <w:lvl w:ilvl="0" w:tplc="6918309E">
      <w:start w:val="1"/>
      <w:numFmt w:val="decimal"/>
      <w:lvlText w:val="%1)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6E0F88">
      <w:start w:val="1"/>
      <w:numFmt w:val="lowerLetter"/>
      <w:lvlText w:val="%2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80F1D2">
      <w:start w:val="1"/>
      <w:numFmt w:val="lowerRoman"/>
      <w:lvlText w:val="%3"/>
      <w:lvlJc w:val="left"/>
      <w:pPr>
        <w:ind w:left="2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F86CA8">
      <w:start w:val="1"/>
      <w:numFmt w:val="decimal"/>
      <w:lvlText w:val="%4"/>
      <w:lvlJc w:val="left"/>
      <w:pPr>
        <w:ind w:left="2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C6FFC4">
      <w:start w:val="1"/>
      <w:numFmt w:val="lowerLetter"/>
      <w:lvlText w:val="%5"/>
      <w:lvlJc w:val="left"/>
      <w:pPr>
        <w:ind w:left="3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CC0112">
      <w:start w:val="1"/>
      <w:numFmt w:val="lowerRoman"/>
      <w:lvlText w:val="%6"/>
      <w:lvlJc w:val="left"/>
      <w:pPr>
        <w:ind w:left="4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1249E4">
      <w:start w:val="1"/>
      <w:numFmt w:val="decimal"/>
      <w:lvlText w:val="%7"/>
      <w:lvlJc w:val="left"/>
      <w:pPr>
        <w:ind w:left="5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A92F4">
      <w:start w:val="1"/>
      <w:numFmt w:val="lowerLetter"/>
      <w:lvlText w:val="%8"/>
      <w:lvlJc w:val="left"/>
      <w:pPr>
        <w:ind w:left="5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84D7D4">
      <w:start w:val="1"/>
      <w:numFmt w:val="lowerRoman"/>
      <w:lvlText w:val="%9"/>
      <w:lvlJc w:val="left"/>
      <w:pPr>
        <w:ind w:left="6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D60D3C"/>
    <w:multiLevelType w:val="hybridMultilevel"/>
    <w:tmpl w:val="CF56B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05332"/>
    <w:multiLevelType w:val="hybridMultilevel"/>
    <w:tmpl w:val="E59E6470"/>
    <w:lvl w:ilvl="0" w:tplc="A70AA0B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6B1B6">
      <w:start w:val="1"/>
      <w:numFmt w:val="bullet"/>
      <w:lvlText w:val="•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2C5190">
      <w:start w:val="1"/>
      <w:numFmt w:val="bullet"/>
      <w:lvlText w:val="▪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C6A1FA">
      <w:start w:val="1"/>
      <w:numFmt w:val="bullet"/>
      <w:lvlText w:val="•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F64B2A">
      <w:start w:val="1"/>
      <w:numFmt w:val="bullet"/>
      <w:lvlText w:val="o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AE969E">
      <w:start w:val="1"/>
      <w:numFmt w:val="bullet"/>
      <w:lvlText w:val="▪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4E1D22">
      <w:start w:val="1"/>
      <w:numFmt w:val="bullet"/>
      <w:lvlText w:val="•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5EC6F4">
      <w:start w:val="1"/>
      <w:numFmt w:val="bullet"/>
      <w:lvlText w:val="o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8A9558">
      <w:start w:val="1"/>
      <w:numFmt w:val="bullet"/>
      <w:lvlText w:val="▪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AD91BFC"/>
    <w:multiLevelType w:val="hybridMultilevel"/>
    <w:tmpl w:val="A81A9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009DB"/>
    <w:multiLevelType w:val="hybridMultilevel"/>
    <w:tmpl w:val="A18019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DCE6C8B"/>
    <w:multiLevelType w:val="hybridMultilevel"/>
    <w:tmpl w:val="E6A28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D31A66"/>
    <w:multiLevelType w:val="hybridMultilevel"/>
    <w:tmpl w:val="081451D8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num w:numId="1" w16cid:durableId="1511412304">
    <w:abstractNumId w:val="1"/>
  </w:num>
  <w:num w:numId="2" w16cid:durableId="214319642">
    <w:abstractNumId w:val="2"/>
  </w:num>
  <w:num w:numId="3" w16cid:durableId="690113171">
    <w:abstractNumId w:val="4"/>
  </w:num>
  <w:num w:numId="4" w16cid:durableId="1107501160">
    <w:abstractNumId w:val="8"/>
  </w:num>
  <w:num w:numId="5" w16cid:durableId="834296025">
    <w:abstractNumId w:val="5"/>
  </w:num>
  <w:num w:numId="6" w16cid:durableId="103308388">
    <w:abstractNumId w:val="3"/>
  </w:num>
  <w:num w:numId="7" w16cid:durableId="823158041">
    <w:abstractNumId w:val="6"/>
  </w:num>
  <w:num w:numId="8" w16cid:durableId="350689455">
    <w:abstractNumId w:val="0"/>
  </w:num>
  <w:num w:numId="9" w16cid:durableId="12554381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7D9"/>
    <w:rsid w:val="00393622"/>
    <w:rsid w:val="007B53C7"/>
    <w:rsid w:val="008C4137"/>
    <w:rsid w:val="008D7D1C"/>
    <w:rsid w:val="00A273C1"/>
    <w:rsid w:val="00B4087B"/>
    <w:rsid w:val="00C027D9"/>
    <w:rsid w:val="00CB4483"/>
    <w:rsid w:val="00DC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EE83"/>
  <w15:docId w15:val="{3E5217D3-82DC-4CA5-9A1F-ABFF7742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7" w:line="247" w:lineRule="auto"/>
      <w:ind w:left="413" w:right="35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10" w:right="144" w:hanging="10"/>
      <w:jc w:val="right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8"/>
    </w:rPr>
  </w:style>
  <w:style w:type="paragraph" w:styleId="Akapitzlist">
    <w:name w:val="List Paragraph"/>
    <w:aliases w:val="zwykły tekst,List Paragraph1,BulletC,normalny tekst,Obiekt,Normal,Odstavec,Akapit z listą numerowaną,Podsis rysunku,lp1,Bullet List,FooterText,numbered,Paragraphe de liste1,Bulletr List Paragraph,列出段落,列出段落1,List Paragraph21,Listeafsnit1"/>
    <w:basedOn w:val="Normalny"/>
    <w:link w:val="AkapitzlistZnak"/>
    <w:uiPriority w:val="34"/>
    <w:qFormat/>
    <w:rsid w:val="00DC160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393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36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362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3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3622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aliases w:val="zwykły tekst Znak,List Paragraph1 Znak,BulletC Znak,normalny tekst Znak,Obiekt Znak,Normal Znak,Odstavec Znak,Akapit z listą numerowaną Znak,Podsis rysunku Znak,lp1 Znak,Bullet List Znak,FooterText Znak,numbered Znak,列出段落 Znak"/>
    <w:link w:val="Akapitzlist"/>
    <w:uiPriority w:val="34"/>
    <w:qFormat/>
    <w:locked/>
    <w:rsid w:val="00B4087B"/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2BEA9-83A7-4203-9319-4DE8EB56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D37506-7BA6-43E3-B017-18F7AE4B835E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3.xml><?xml version="1.0" encoding="utf-8"?>
<ds:datastoreItem xmlns:ds="http://schemas.openxmlformats.org/officeDocument/2006/customXml" ds:itemID="{CDFDDB4D-EEA2-43DE-9276-09B5072CCB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ZaBacznik nr 11 - podstawy pBatno[ci (1)</dc:title>
  <dc:subject/>
  <dc:creator>patrycja.kandyba</dc:creator>
  <cp:keywords/>
  <cp:lastModifiedBy>Agnieszka Stolarska</cp:lastModifiedBy>
  <cp:revision>2</cp:revision>
  <dcterms:created xsi:type="dcterms:W3CDTF">2026-03-06T11:32:00Z</dcterms:created>
  <dcterms:modified xsi:type="dcterms:W3CDTF">2026-03-06T11:32:00Z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